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68" w:rsidRPr="00263E07" w:rsidRDefault="00512168" w:rsidP="00512168">
      <w:pPr>
        <w:autoSpaceDE w:val="0"/>
        <w:jc w:val="center"/>
        <w:rPr>
          <w:rFonts w:ascii="Bookman Old Style" w:hAnsi="Bookman Old Style"/>
          <w:color w:val="7030A0"/>
          <w:sz w:val="36"/>
          <w:szCs w:val="36"/>
        </w:rPr>
      </w:pPr>
      <w:r w:rsidRPr="00263E07">
        <w:rPr>
          <w:rFonts w:ascii="Bookman Old Style" w:hAnsi="Bookman Old Style"/>
          <w:b/>
          <w:bCs/>
          <w:color w:val="7030A0"/>
          <w:sz w:val="36"/>
          <w:szCs w:val="36"/>
          <w:u w:val="single"/>
        </w:rPr>
        <w:t>Gresham Parish Council</w:t>
      </w:r>
    </w:p>
    <w:p w:rsidR="00512168" w:rsidRDefault="00512168" w:rsidP="00512168">
      <w:pPr>
        <w:jc w:val="center"/>
        <w:rPr>
          <w:rFonts w:ascii="Arial" w:hAnsi="Arial" w:cs="Arial"/>
          <w:b/>
        </w:rPr>
      </w:pPr>
      <w:r>
        <w:rPr>
          <w:rFonts w:ascii="Arial" w:hAnsi="Arial" w:cs="Arial"/>
          <w:b/>
        </w:rPr>
        <w:t>EQUAL OPPORTUNITIES POLICY</w:t>
      </w:r>
    </w:p>
    <w:p w:rsidR="00512168" w:rsidRPr="00450145" w:rsidRDefault="00512168" w:rsidP="00512168">
      <w:pPr>
        <w:rPr>
          <w:rFonts w:ascii="Arial" w:hAnsi="Arial" w:cs="Arial"/>
          <w:b/>
        </w:rPr>
      </w:pPr>
      <w:r w:rsidRPr="00450145">
        <w:rPr>
          <w:rFonts w:ascii="Arial" w:hAnsi="Arial" w:cs="Arial"/>
          <w:b/>
        </w:rPr>
        <w:t>LEGAL POSITION</w:t>
      </w:r>
    </w:p>
    <w:p w:rsidR="00512168" w:rsidRPr="00450145" w:rsidRDefault="00512168" w:rsidP="00512168">
      <w:pPr>
        <w:rPr>
          <w:rFonts w:ascii="Arial" w:hAnsi="Arial" w:cs="Arial"/>
        </w:rPr>
      </w:pPr>
      <w:r w:rsidRPr="00450145">
        <w:rPr>
          <w:rFonts w:ascii="Arial" w:hAnsi="Arial" w:cs="Arial"/>
        </w:rPr>
        <w:t>It is unlawful to discriminate against an individual on the following grounds:</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age</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disability</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gender reassignment</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marriage and civil partnership</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pregnancy and maternity</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race</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religion or belief</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sex</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sexual orientation</w:t>
      </w:r>
    </w:p>
    <w:p w:rsidR="00512168" w:rsidRPr="00450145" w:rsidRDefault="00512168" w:rsidP="00512168">
      <w:pPr>
        <w:ind w:left="720"/>
        <w:rPr>
          <w:rFonts w:ascii="Arial" w:hAnsi="Arial" w:cs="Arial"/>
        </w:rPr>
      </w:pPr>
    </w:p>
    <w:p w:rsidR="00512168" w:rsidRPr="00450145" w:rsidRDefault="00512168" w:rsidP="00512168">
      <w:pPr>
        <w:rPr>
          <w:rFonts w:ascii="Arial" w:hAnsi="Arial" w:cs="Arial"/>
        </w:rPr>
      </w:pPr>
      <w:r w:rsidRPr="00450145">
        <w:rPr>
          <w:rFonts w:ascii="Arial" w:hAnsi="Arial" w:cs="Arial"/>
        </w:rPr>
        <w:t>Under the Equality Act 2010 these are known as “protected characteristics”.</w:t>
      </w:r>
    </w:p>
    <w:p w:rsidR="00512168" w:rsidRPr="00450145" w:rsidRDefault="00512168" w:rsidP="00512168">
      <w:pPr>
        <w:rPr>
          <w:rFonts w:ascii="Arial" w:hAnsi="Arial" w:cs="Arial"/>
          <w:b/>
        </w:rPr>
      </w:pPr>
      <w:r w:rsidRPr="00450145">
        <w:rPr>
          <w:rFonts w:ascii="Arial" w:hAnsi="Arial" w:cs="Arial"/>
          <w:b/>
        </w:rPr>
        <w:t>PURPOSE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bCs/>
          <w:sz w:val="22"/>
          <w:szCs w:val="22"/>
          <w:lang w:val="en-US"/>
        </w:rPr>
        <w:t xml:space="preserve">The </w:t>
      </w:r>
      <w:r w:rsidRPr="00450145">
        <w:rPr>
          <w:rFonts w:ascii="Arial" w:hAnsi="Arial" w:cs="Arial"/>
          <w:sz w:val="22"/>
          <w:szCs w:val="22"/>
          <w:lang w:val="en-US"/>
        </w:rPr>
        <w:t>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victimization or harassment on the grounds of any of the protected characteristics defined in the Equality Act 2010.</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b/>
          <w:sz w:val="22"/>
          <w:szCs w:val="22"/>
          <w:lang w:val="en-US"/>
        </w:rPr>
      </w:pPr>
      <w:r w:rsidRPr="00450145">
        <w:rPr>
          <w:rFonts w:ascii="Arial" w:hAnsi="Arial" w:cs="Arial"/>
          <w:b/>
          <w:sz w:val="22"/>
          <w:szCs w:val="22"/>
          <w:lang w:val="en-US"/>
        </w:rPr>
        <w:t>SCOPE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All employees whether full-time, part-time, fixed term contract, agency workers or temporary staff,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w:t>
      </w:r>
      <w:proofErr w:type="spellStart"/>
      <w:r w:rsidRPr="00450145">
        <w:rPr>
          <w:rFonts w:ascii="Arial" w:hAnsi="Arial" w:cs="Arial"/>
          <w:sz w:val="22"/>
          <w:szCs w:val="22"/>
          <w:lang w:val="en-US"/>
        </w:rPr>
        <w:t>utilised</w:t>
      </w:r>
      <w:proofErr w:type="spellEnd"/>
      <w:r w:rsidRPr="00450145">
        <w:rPr>
          <w:rFonts w:ascii="Arial" w:hAnsi="Arial" w:cs="Arial"/>
          <w:sz w:val="22"/>
          <w:szCs w:val="22"/>
          <w:lang w:val="en-US"/>
        </w:rPr>
        <w:t xml:space="preserve"> to </w:t>
      </w:r>
      <w:proofErr w:type="spellStart"/>
      <w:r w:rsidRPr="00450145">
        <w:rPr>
          <w:rFonts w:ascii="Arial" w:hAnsi="Arial" w:cs="Arial"/>
          <w:sz w:val="22"/>
          <w:szCs w:val="22"/>
          <w:lang w:val="en-US"/>
        </w:rPr>
        <w:t>maximise</w:t>
      </w:r>
      <w:proofErr w:type="spellEnd"/>
      <w:r w:rsidRPr="00450145">
        <w:rPr>
          <w:rFonts w:ascii="Arial" w:hAnsi="Arial" w:cs="Arial"/>
          <w:sz w:val="22"/>
          <w:szCs w:val="22"/>
          <w:lang w:val="en-US"/>
        </w:rPr>
        <w:t xml:space="preserve"> the efficiency of the council.</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rPr>
          <w:rFonts w:ascii="Arial" w:hAnsi="Arial" w:cs="Arial"/>
          <w:b/>
          <w:sz w:val="22"/>
          <w:szCs w:val="22"/>
          <w:u w:val="single"/>
          <w:lang w:val="en-US"/>
        </w:rPr>
      </w:pPr>
      <w:r w:rsidRPr="00450145">
        <w:rPr>
          <w:rFonts w:ascii="Arial" w:hAnsi="Arial" w:cs="Arial"/>
          <w:b/>
          <w:sz w:val="22"/>
          <w:szCs w:val="22"/>
          <w:lang w:val="en-US"/>
        </w:rPr>
        <w:t>OUR COMMITMENT</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Every employee is entitled to a working environment that promotes dignity and respect to all. No form of intimidation, bullying or harassment will be tolerated.  This is further defined in the Dignity at Work policy adopted by the council.</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The commitment to equal opportunities in the workplace is good management practice and makes sound business sense as it seeks to </w:t>
      </w:r>
      <w:proofErr w:type="spellStart"/>
      <w:r w:rsidRPr="00450145">
        <w:rPr>
          <w:rFonts w:ascii="Arial" w:hAnsi="Arial" w:cs="Arial"/>
          <w:sz w:val="22"/>
          <w:szCs w:val="22"/>
          <w:lang w:val="en-US"/>
        </w:rPr>
        <w:t>utilise</w:t>
      </w:r>
      <w:proofErr w:type="spellEnd"/>
      <w:r w:rsidRPr="00450145">
        <w:rPr>
          <w:rFonts w:ascii="Arial" w:hAnsi="Arial" w:cs="Arial"/>
          <w:sz w:val="22"/>
          <w:szCs w:val="22"/>
          <w:lang w:val="en-US"/>
        </w:rPr>
        <w:t xml:space="preserve"> the talents available from the local community, representing Society as a whole.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Breaches of our equal opportunities policy will be regarded as serious misconduct and could lead to disciplinary proceedings.  Employees are entitled to complain about discrimination or harassment or victimization through the council’s Grievance procedure.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This policy is fully supported by all Members of the council and adopts the model contract as devised by the employee professional body in the local government sector (the Society of Local Council Clerks). </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The policy will be monitored and reviewed annually/bi-annually.  Other Personnel policies will be reviewed against the values stated in this main Equal Opportunities policy to ensure that the council strives to remain an Equal Opportunities employer.</w:t>
      </w:r>
    </w:p>
    <w:p w:rsidR="00512168" w:rsidRDefault="00512168" w:rsidP="00512168">
      <w:pPr>
        <w:rPr>
          <w:rFonts w:ascii="Arial" w:hAnsi="Arial" w:cs="Arial"/>
          <w:b/>
        </w:rPr>
      </w:pPr>
    </w:p>
    <w:p w:rsidR="00512168" w:rsidRDefault="00512168" w:rsidP="00512168">
      <w:r w:rsidRPr="00450145">
        <w:rPr>
          <w:rFonts w:ascii="Arial" w:hAnsi="Arial" w:cs="Arial"/>
          <w:b/>
        </w:rPr>
        <w:t>Uses of Policy</w:t>
      </w:r>
      <w:r>
        <w:rPr>
          <w:rFonts w:ascii="Arial" w:hAnsi="Arial" w:cs="Arial"/>
        </w:rPr>
        <w:t xml:space="preserve"> – Contract of Employment</w:t>
      </w:r>
      <w:r w:rsidRPr="00450145">
        <w:rPr>
          <w:rFonts w:ascii="Arial" w:hAnsi="Arial" w:cs="Arial"/>
        </w:rPr>
        <w:t>, Induction of staff and Members, decisions relating to Recruitment and Selection, Training and Development, Promotion, Remuneration, Retirement, cross-re</w:t>
      </w:r>
      <w:r>
        <w:rPr>
          <w:rFonts w:ascii="Arial" w:hAnsi="Arial" w:cs="Arial"/>
        </w:rPr>
        <w:t>ferenced to Grievance and disciplinary procedures</w:t>
      </w:r>
      <w:r w:rsidRPr="00450145">
        <w:rPr>
          <w:rFonts w:ascii="Arial" w:hAnsi="Arial" w:cs="Arial"/>
        </w:rPr>
        <w:t>.</w:t>
      </w:r>
      <w:bookmarkStart w:id="0" w:name="_GoBack"/>
      <w:bookmarkEnd w:id="0"/>
    </w:p>
    <w:sectPr w:rsidR="00512168" w:rsidSect="0051216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E641F"/>
    <w:multiLevelType w:val="hybridMultilevel"/>
    <w:tmpl w:val="2AC2C5D4"/>
    <w:lvl w:ilvl="0" w:tplc="08226FF4">
      <w:start w:val="1"/>
      <w:numFmt w:val="bullet"/>
      <w:lvlText w:val="•"/>
      <w:lvlJc w:val="left"/>
      <w:pPr>
        <w:tabs>
          <w:tab w:val="num" w:pos="720"/>
        </w:tabs>
        <w:ind w:left="720" w:hanging="360"/>
      </w:pPr>
      <w:rPr>
        <w:rFonts w:ascii="Times New Roman" w:hAnsi="Times New Roman" w:hint="default"/>
      </w:rPr>
    </w:lvl>
    <w:lvl w:ilvl="1" w:tplc="5C767088" w:tentative="1">
      <w:start w:val="1"/>
      <w:numFmt w:val="bullet"/>
      <w:lvlText w:val="•"/>
      <w:lvlJc w:val="left"/>
      <w:pPr>
        <w:tabs>
          <w:tab w:val="num" w:pos="1440"/>
        </w:tabs>
        <w:ind w:left="1440" w:hanging="360"/>
      </w:pPr>
      <w:rPr>
        <w:rFonts w:ascii="Times New Roman" w:hAnsi="Times New Roman" w:hint="default"/>
      </w:rPr>
    </w:lvl>
    <w:lvl w:ilvl="2" w:tplc="7996E60C" w:tentative="1">
      <w:start w:val="1"/>
      <w:numFmt w:val="bullet"/>
      <w:lvlText w:val="•"/>
      <w:lvlJc w:val="left"/>
      <w:pPr>
        <w:tabs>
          <w:tab w:val="num" w:pos="2160"/>
        </w:tabs>
        <w:ind w:left="2160" w:hanging="360"/>
      </w:pPr>
      <w:rPr>
        <w:rFonts w:ascii="Times New Roman" w:hAnsi="Times New Roman" w:hint="default"/>
      </w:rPr>
    </w:lvl>
    <w:lvl w:ilvl="3" w:tplc="DFB25860" w:tentative="1">
      <w:start w:val="1"/>
      <w:numFmt w:val="bullet"/>
      <w:lvlText w:val="•"/>
      <w:lvlJc w:val="left"/>
      <w:pPr>
        <w:tabs>
          <w:tab w:val="num" w:pos="2880"/>
        </w:tabs>
        <w:ind w:left="2880" w:hanging="360"/>
      </w:pPr>
      <w:rPr>
        <w:rFonts w:ascii="Times New Roman" w:hAnsi="Times New Roman" w:hint="default"/>
      </w:rPr>
    </w:lvl>
    <w:lvl w:ilvl="4" w:tplc="F020C148" w:tentative="1">
      <w:start w:val="1"/>
      <w:numFmt w:val="bullet"/>
      <w:lvlText w:val="•"/>
      <w:lvlJc w:val="left"/>
      <w:pPr>
        <w:tabs>
          <w:tab w:val="num" w:pos="3600"/>
        </w:tabs>
        <w:ind w:left="3600" w:hanging="360"/>
      </w:pPr>
      <w:rPr>
        <w:rFonts w:ascii="Times New Roman" w:hAnsi="Times New Roman" w:hint="default"/>
      </w:rPr>
    </w:lvl>
    <w:lvl w:ilvl="5" w:tplc="A2787182" w:tentative="1">
      <w:start w:val="1"/>
      <w:numFmt w:val="bullet"/>
      <w:lvlText w:val="•"/>
      <w:lvlJc w:val="left"/>
      <w:pPr>
        <w:tabs>
          <w:tab w:val="num" w:pos="4320"/>
        </w:tabs>
        <w:ind w:left="4320" w:hanging="360"/>
      </w:pPr>
      <w:rPr>
        <w:rFonts w:ascii="Times New Roman" w:hAnsi="Times New Roman" w:hint="default"/>
      </w:rPr>
    </w:lvl>
    <w:lvl w:ilvl="6" w:tplc="27EAA72A" w:tentative="1">
      <w:start w:val="1"/>
      <w:numFmt w:val="bullet"/>
      <w:lvlText w:val="•"/>
      <w:lvlJc w:val="left"/>
      <w:pPr>
        <w:tabs>
          <w:tab w:val="num" w:pos="5040"/>
        </w:tabs>
        <w:ind w:left="5040" w:hanging="360"/>
      </w:pPr>
      <w:rPr>
        <w:rFonts w:ascii="Times New Roman" w:hAnsi="Times New Roman" w:hint="default"/>
      </w:rPr>
    </w:lvl>
    <w:lvl w:ilvl="7" w:tplc="935A8804" w:tentative="1">
      <w:start w:val="1"/>
      <w:numFmt w:val="bullet"/>
      <w:lvlText w:val="•"/>
      <w:lvlJc w:val="left"/>
      <w:pPr>
        <w:tabs>
          <w:tab w:val="num" w:pos="5760"/>
        </w:tabs>
        <w:ind w:left="5760" w:hanging="360"/>
      </w:pPr>
      <w:rPr>
        <w:rFonts w:ascii="Times New Roman" w:hAnsi="Times New Roman" w:hint="default"/>
      </w:rPr>
    </w:lvl>
    <w:lvl w:ilvl="8" w:tplc="77C6660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68"/>
    <w:rsid w:val="00512168"/>
    <w:rsid w:val="0071569D"/>
    <w:rsid w:val="00FE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EF5E-FD22-49EF-905D-FD75EA6D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168"/>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512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2016-02-13T19:04:00Z</dcterms:created>
  <dcterms:modified xsi:type="dcterms:W3CDTF">2016-02-13T19:10:00Z</dcterms:modified>
</cp:coreProperties>
</file>